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E75850"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INT110-</w:t>
      </w:r>
      <w:r w:rsidR="00D214A9">
        <w:rPr>
          <w:rFonts w:ascii="Arial" w:eastAsia="Times New Roman" w:hAnsi="Arial" w:cs="Arial"/>
          <w:color w:val="333435"/>
          <w:sz w:val="21"/>
          <w:szCs w:val="21"/>
        </w:rPr>
        <w:t>3</w:t>
      </w:r>
      <w:r w:rsidR="007D6C33">
        <w:rPr>
          <w:rFonts w:ascii="Arial" w:eastAsia="Times New Roman" w:hAnsi="Arial" w:cs="Arial"/>
          <w:color w:val="333435"/>
          <w:sz w:val="21"/>
          <w:szCs w:val="21"/>
        </w:rPr>
        <w:t>.1 Lab</w:t>
      </w:r>
      <w:r w:rsidR="0022754F">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22754F">
        <w:rPr>
          <w:rFonts w:ascii="Arial" w:eastAsia="Times New Roman" w:hAnsi="Arial" w:cs="Arial"/>
          <w:color w:val="333435"/>
          <w:sz w:val="21"/>
          <w:szCs w:val="21"/>
        </w:rPr>
        <w:t xml:space="preserve">  </w:t>
      </w:r>
      <w:r w:rsidR="0022754F">
        <w:rPr>
          <w:rFonts w:ascii="Arial" w:eastAsia="Times New Roman" w:hAnsi="Arial" w:cs="Arial"/>
          <w:color w:val="333435"/>
          <w:sz w:val="21"/>
          <w:szCs w:val="21"/>
        </w:rPr>
        <w:t>Student Name</w:t>
      </w:r>
      <w:proofErr w:type="gramStart"/>
      <w:r w:rsidR="0022754F">
        <w:rPr>
          <w:rFonts w:ascii="Arial" w:eastAsia="Times New Roman" w:hAnsi="Arial" w:cs="Arial"/>
          <w:color w:val="333435"/>
          <w:sz w:val="21"/>
          <w:szCs w:val="21"/>
        </w:rPr>
        <w:t>:_</w:t>
      </w:r>
      <w:proofErr w:type="gramEnd"/>
      <w:r w:rsidR="0022754F">
        <w:rPr>
          <w:rFonts w:ascii="Arial" w:eastAsia="Times New Roman" w:hAnsi="Arial" w:cs="Arial"/>
          <w:color w:val="333435"/>
          <w:sz w:val="21"/>
          <w:szCs w:val="21"/>
        </w:rPr>
        <w:t>________________________</w:t>
      </w:r>
      <w:bookmarkStart w:id="0" w:name="_GoBack"/>
      <w:bookmarkEnd w:id="0"/>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D214A9" w:rsidRPr="00D214A9" w:rsidRDefault="00D214A9" w:rsidP="00D214A9">
      <w:pPr>
        <w:shd w:val="clear" w:color="auto" w:fill="FFFFFF"/>
        <w:spacing w:after="150" w:line="240" w:lineRule="auto"/>
        <w:rPr>
          <w:rFonts w:ascii="Arial" w:eastAsia="Times New Roman" w:hAnsi="Arial" w:cs="Arial"/>
          <w:color w:val="333435"/>
          <w:sz w:val="21"/>
          <w:szCs w:val="21"/>
        </w:rPr>
      </w:pPr>
      <w:r w:rsidRPr="00D214A9">
        <w:rPr>
          <w:rFonts w:ascii="Arial" w:eastAsia="Times New Roman" w:hAnsi="Arial" w:cs="Arial"/>
          <w:color w:val="333435"/>
          <w:sz w:val="21"/>
          <w:szCs w:val="21"/>
        </w:rPr>
        <w:t>Answer the following questions. You will submit your answers in Sakai by uploading a document or typing your answers in box below.</w:t>
      </w:r>
    </w:p>
    <w:p w:rsidR="00D214A9" w:rsidRDefault="00D214A9" w:rsidP="00D214A9">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D214A9">
        <w:rPr>
          <w:rFonts w:ascii="Arial" w:eastAsia="Times New Roman" w:hAnsi="Arial" w:cs="Arial"/>
          <w:color w:val="333435"/>
          <w:sz w:val="21"/>
          <w:szCs w:val="21"/>
        </w:rPr>
        <w:t>What are the two primary objectives of safety professionals?</w:t>
      </w:r>
    </w:p>
    <w:p w:rsidR="00D214A9" w:rsidRPr="00D214A9" w:rsidRDefault="00D214A9" w:rsidP="00D214A9">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D214A9" w:rsidRDefault="00D214A9" w:rsidP="00D214A9">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D214A9">
        <w:rPr>
          <w:rFonts w:ascii="Arial" w:eastAsia="Times New Roman" w:hAnsi="Arial" w:cs="Arial"/>
          <w:color w:val="333435"/>
          <w:sz w:val="21"/>
          <w:szCs w:val="21"/>
        </w:rPr>
        <w:t>List four titles for a safety professional?</w:t>
      </w:r>
    </w:p>
    <w:p w:rsidR="00D214A9" w:rsidRDefault="00D214A9" w:rsidP="00D214A9">
      <w:pPr>
        <w:pStyle w:val="ListParagraph"/>
        <w:rPr>
          <w:rFonts w:ascii="Arial" w:eastAsia="Times New Roman" w:hAnsi="Arial" w:cs="Arial"/>
          <w:color w:val="333435"/>
          <w:sz w:val="21"/>
          <w:szCs w:val="21"/>
        </w:rPr>
      </w:pPr>
    </w:p>
    <w:p w:rsidR="00D214A9" w:rsidRPr="00D214A9" w:rsidRDefault="00D214A9" w:rsidP="00D214A9">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D214A9" w:rsidRDefault="00D214A9" w:rsidP="00D214A9">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D214A9">
        <w:rPr>
          <w:rFonts w:ascii="Arial" w:eastAsia="Times New Roman" w:hAnsi="Arial" w:cs="Arial"/>
          <w:color w:val="333435"/>
          <w:sz w:val="21"/>
          <w:szCs w:val="21"/>
        </w:rPr>
        <w:t>Explain what a safety professional must do when a hazard is found.</w:t>
      </w:r>
    </w:p>
    <w:p w:rsidR="00D214A9" w:rsidRPr="00D214A9" w:rsidRDefault="00D214A9" w:rsidP="00D214A9">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D214A9" w:rsidRPr="00D214A9" w:rsidRDefault="00D214A9" w:rsidP="00D214A9">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D214A9">
        <w:rPr>
          <w:rFonts w:ascii="Arial" w:eastAsia="Times New Roman" w:hAnsi="Arial" w:cs="Arial"/>
          <w:color w:val="333435"/>
          <w:sz w:val="21"/>
          <w:szCs w:val="21"/>
        </w:rPr>
        <w:t>Describe two ways that a safety professional can continue to grow professionally and increase their career opportunities.</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D0EB5"/>
    <w:multiLevelType w:val="multilevel"/>
    <w:tmpl w:val="C60A1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9C06E1"/>
    <w:multiLevelType w:val="multilevel"/>
    <w:tmpl w:val="2B303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22754F"/>
    <w:rsid w:val="003225F5"/>
    <w:rsid w:val="007D6C33"/>
    <w:rsid w:val="00C87C31"/>
    <w:rsid w:val="00D214A9"/>
    <w:rsid w:val="00E75850"/>
    <w:rsid w:val="00EF3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5E416"/>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75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792035">
      <w:bodyDiv w:val="1"/>
      <w:marLeft w:val="0"/>
      <w:marRight w:val="0"/>
      <w:marTop w:val="0"/>
      <w:marBottom w:val="0"/>
      <w:divBdr>
        <w:top w:val="none" w:sz="0" w:space="0" w:color="auto"/>
        <w:left w:val="none" w:sz="0" w:space="0" w:color="auto"/>
        <w:bottom w:val="none" w:sz="0" w:space="0" w:color="auto"/>
        <w:right w:val="none" w:sz="0" w:space="0" w:color="auto"/>
      </w:divBdr>
    </w:div>
    <w:div w:id="1263758640">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2024-02-27T17:06:00Z</dcterms:created>
  <dcterms:modified xsi:type="dcterms:W3CDTF">2024-03-11T16:50:00Z</dcterms:modified>
</cp:coreProperties>
</file>